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2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29106" cy="4469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106" cy="44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before="101"/>
        <w:ind w:left="1446" w:right="0" w:firstLine="0"/>
        <w:jc w:val="left"/>
        <w:rPr>
          <w:b/>
          <w:sz w:val="24"/>
        </w:rPr>
      </w:pPr>
      <w:r>
        <w:rPr>
          <w:b/>
          <w:color w:val="2A9FBB"/>
          <w:sz w:val="24"/>
          <w:u w:val="thick" w:color="2A9FBB"/>
        </w:rPr>
        <w:t>Zysense Multi-Gas Analyzer Sensor Specifications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"/>
        <w:gridCol w:w="1095"/>
        <w:gridCol w:w="1532"/>
        <w:gridCol w:w="1621"/>
        <w:gridCol w:w="990"/>
        <w:gridCol w:w="464"/>
        <w:gridCol w:w="1465"/>
        <w:gridCol w:w="1465"/>
        <w:gridCol w:w="1465"/>
      </w:tblGrid>
      <w:tr>
        <w:trPr>
          <w:trHeight w:val="798" w:hRule="atLeast"/>
        </w:trPr>
        <w:tc>
          <w:tcPr>
            <w:tcW w:w="1256" w:type="dxa"/>
            <w:gridSpan w:val="2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Sensor</w:t>
            </w:r>
          </w:p>
        </w:tc>
        <w:tc>
          <w:tcPr>
            <w:tcW w:w="1532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6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621" w:type="dxa"/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43" w:right="137"/>
              <w:rPr>
                <w:b/>
                <w:sz w:val="12"/>
              </w:rPr>
            </w:pPr>
            <w:r>
              <w:rPr>
                <w:b/>
                <w:position w:val="2"/>
                <w:sz w:val="18"/>
              </w:rPr>
              <w:t>NO</w:t>
            </w:r>
            <w:r>
              <w:rPr>
                <w:b/>
                <w:sz w:val="12"/>
              </w:rPr>
              <w:t>2</w:t>
            </w:r>
          </w:p>
        </w:tc>
        <w:tc>
          <w:tcPr>
            <w:tcW w:w="1454" w:type="dxa"/>
            <w:gridSpan w:val="2"/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42" w:right="141"/>
              <w:rPr>
                <w:b/>
                <w:sz w:val="12"/>
              </w:rPr>
            </w:pPr>
            <w:r>
              <w:rPr>
                <w:b/>
                <w:position w:val="2"/>
                <w:sz w:val="18"/>
              </w:rPr>
              <w:t>NH</w:t>
            </w:r>
            <w:r>
              <w:rPr>
                <w:b/>
                <w:sz w:val="12"/>
              </w:rPr>
              <w:t>3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16" w:right="116"/>
              <w:rPr>
                <w:b/>
                <w:sz w:val="18"/>
              </w:rPr>
            </w:pPr>
            <w:r>
              <w:rPr>
                <w:b/>
                <w:position w:val="2"/>
                <w:sz w:val="18"/>
              </w:rPr>
              <w:t>H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2"/>
                <w:sz w:val="18"/>
              </w:rPr>
              <w:t>S</w:t>
            </w:r>
          </w:p>
        </w:tc>
        <w:tc>
          <w:tcPr>
            <w:tcW w:w="1465" w:type="dxa"/>
          </w:tcPr>
          <w:p>
            <w:pPr>
              <w:pStyle w:val="TableParagraph"/>
              <w:spacing w:before="12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15"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CO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13" w:right="116"/>
              <w:rPr>
                <w:b/>
                <w:sz w:val="12"/>
              </w:rPr>
            </w:pPr>
            <w:r>
              <w:rPr>
                <w:b/>
                <w:position w:val="2"/>
                <w:sz w:val="18"/>
              </w:rPr>
              <w:t>PH</w:t>
            </w:r>
            <w:r>
              <w:rPr>
                <w:b/>
                <w:sz w:val="12"/>
              </w:rPr>
              <w:t>3</w:t>
            </w:r>
          </w:p>
        </w:tc>
      </w:tr>
      <w:tr>
        <w:trPr>
          <w:trHeight w:val="798" w:hRule="atLeast"/>
        </w:trPr>
        <w:tc>
          <w:tcPr>
            <w:tcW w:w="1256" w:type="dxa"/>
            <w:gridSpan w:val="2"/>
          </w:tcPr>
          <w:p>
            <w:pPr>
              <w:pStyle w:val="TableParagraph"/>
              <w:spacing w:line="223" w:lineRule="auto" w:before="189"/>
              <w:ind w:left="400" w:right="291" w:hanging="32"/>
              <w:jc w:val="left"/>
              <w:rPr>
                <w:sz w:val="18"/>
              </w:rPr>
            </w:pPr>
            <w:r>
              <w:rPr>
                <w:sz w:val="18"/>
              </w:rPr>
              <w:t>Range (min)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176"/>
              <w:ind w:left="205" w:right="155"/>
              <w:rPr>
                <w:sz w:val="18"/>
              </w:rPr>
            </w:pPr>
            <w:r>
              <w:rPr>
                <w:sz w:val="18"/>
              </w:rPr>
              <w:t>0-50</w:t>
            </w:r>
          </w:p>
          <w:p>
            <w:pPr>
              <w:pStyle w:val="TableParagraph"/>
              <w:spacing w:line="211" w:lineRule="exact"/>
              <w:ind w:left="198" w:right="155"/>
              <w:rPr>
                <w:sz w:val="18"/>
              </w:rPr>
            </w:pPr>
            <w:r>
              <w:rPr>
                <w:sz w:val="18"/>
              </w:rPr>
              <w:t>PPM</w:t>
            </w:r>
          </w:p>
        </w:tc>
        <w:tc>
          <w:tcPr>
            <w:tcW w:w="1621" w:type="dxa"/>
          </w:tcPr>
          <w:p>
            <w:pPr>
              <w:pStyle w:val="TableParagraph"/>
              <w:spacing w:line="211" w:lineRule="exact" w:before="176"/>
              <w:ind w:left="143" w:right="150"/>
              <w:rPr>
                <w:sz w:val="18"/>
              </w:rPr>
            </w:pPr>
            <w:r>
              <w:rPr>
                <w:sz w:val="18"/>
              </w:rPr>
              <w:t>0-10.0</w:t>
            </w:r>
          </w:p>
          <w:p>
            <w:pPr>
              <w:pStyle w:val="TableParagraph"/>
              <w:spacing w:line="211" w:lineRule="exact"/>
              <w:ind w:left="143" w:right="150"/>
              <w:rPr>
                <w:sz w:val="18"/>
              </w:rPr>
            </w:pPr>
            <w:r>
              <w:rPr>
                <w:sz w:val="18"/>
              </w:rPr>
              <w:t>PPM</w:t>
            </w:r>
          </w:p>
        </w:tc>
        <w:tc>
          <w:tcPr>
            <w:tcW w:w="1454" w:type="dxa"/>
            <w:gridSpan w:val="2"/>
          </w:tcPr>
          <w:p>
            <w:pPr>
              <w:pStyle w:val="TableParagraph"/>
              <w:spacing w:line="211" w:lineRule="exact" w:before="176"/>
              <w:ind w:left="642"/>
              <w:jc w:val="left"/>
              <w:rPr>
                <w:sz w:val="18"/>
              </w:rPr>
            </w:pPr>
            <w:r>
              <w:rPr>
                <w:sz w:val="18"/>
              </w:rPr>
              <w:t>0-50</w:t>
            </w:r>
          </w:p>
          <w:p>
            <w:pPr>
              <w:pStyle w:val="TableParagraph"/>
              <w:spacing w:line="211" w:lineRule="exact"/>
              <w:ind w:left="669"/>
              <w:jc w:val="left"/>
              <w:rPr>
                <w:sz w:val="18"/>
              </w:rPr>
            </w:pPr>
            <w:r>
              <w:rPr>
                <w:sz w:val="18"/>
              </w:rPr>
              <w:t>PPM</w:t>
            </w:r>
          </w:p>
        </w:tc>
        <w:tc>
          <w:tcPr>
            <w:tcW w:w="1465" w:type="dxa"/>
          </w:tcPr>
          <w:p>
            <w:pPr>
              <w:pStyle w:val="TableParagraph"/>
              <w:spacing w:line="211" w:lineRule="exact" w:before="176"/>
              <w:ind w:left="164" w:right="116"/>
              <w:rPr>
                <w:sz w:val="18"/>
              </w:rPr>
            </w:pPr>
            <w:r>
              <w:rPr>
                <w:sz w:val="18"/>
              </w:rPr>
              <w:t>0-10.0</w:t>
            </w:r>
          </w:p>
          <w:p>
            <w:pPr>
              <w:pStyle w:val="TableParagraph"/>
              <w:spacing w:line="211" w:lineRule="exact"/>
              <w:ind w:left="160" w:right="116"/>
              <w:rPr>
                <w:sz w:val="18"/>
              </w:rPr>
            </w:pPr>
            <w:r>
              <w:rPr>
                <w:sz w:val="18"/>
              </w:rPr>
              <w:t>PPM</w:t>
            </w:r>
          </w:p>
        </w:tc>
        <w:tc>
          <w:tcPr>
            <w:tcW w:w="1465" w:type="dxa"/>
          </w:tcPr>
          <w:p>
            <w:pPr>
              <w:pStyle w:val="TableParagraph"/>
              <w:spacing w:line="211" w:lineRule="exact" w:before="176"/>
              <w:ind w:left="644"/>
              <w:jc w:val="left"/>
              <w:rPr>
                <w:sz w:val="18"/>
              </w:rPr>
            </w:pPr>
            <w:r>
              <w:rPr>
                <w:sz w:val="18"/>
              </w:rPr>
              <w:t>0-50</w:t>
            </w:r>
          </w:p>
          <w:p>
            <w:pPr>
              <w:pStyle w:val="TableParagraph"/>
              <w:spacing w:line="211" w:lineRule="exact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PPM</w:t>
            </w:r>
          </w:p>
        </w:tc>
        <w:tc>
          <w:tcPr>
            <w:tcW w:w="1465" w:type="dxa"/>
          </w:tcPr>
          <w:p>
            <w:pPr>
              <w:pStyle w:val="TableParagraph"/>
              <w:spacing w:line="211" w:lineRule="exact" w:before="176"/>
              <w:ind w:left="576"/>
              <w:jc w:val="left"/>
              <w:rPr>
                <w:sz w:val="18"/>
              </w:rPr>
            </w:pPr>
            <w:r>
              <w:rPr>
                <w:sz w:val="18"/>
              </w:rPr>
              <w:t>0-500</w:t>
            </w:r>
          </w:p>
          <w:p>
            <w:pPr>
              <w:pStyle w:val="TableParagraph"/>
              <w:spacing w:line="211" w:lineRule="exact"/>
              <w:ind w:left="674"/>
              <w:jc w:val="left"/>
              <w:rPr>
                <w:sz w:val="18"/>
              </w:rPr>
            </w:pPr>
            <w:r>
              <w:rPr>
                <w:sz w:val="18"/>
              </w:rPr>
              <w:t>PPB</w:t>
            </w:r>
          </w:p>
        </w:tc>
      </w:tr>
      <w:tr>
        <w:trPr>
          <w:trHeight w:val="796" w:hRule="atLeast"/>
        </w:trPr>
        <w:tc>
          <w:tcPr>
            <w:tcW w:w="1256" w:type="dxa"/>
            <w:gridSpan w:val="2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74" w:right="290" w:hanging="5"/>
              <w:jc w:val="left"/>
              <w:rPr>
                <w:sz w:val="18"/>
              </w:rPr>
            </w:pPr>
            <w:r>
              <w:rPr>
                <w:sz w:val="18"/>
              </w:rPr>
              <w:t>Range (max)</w:t>
            </w:r>
          </w:p>
        </w:tc>
        <w:tc>
          <w:tcPr>
            <w:tcW w:w="1532" w:type="dxa"/>
          </w:tcPr>
          <w:p>
            <w:pPr>
              <w:pStyle w:val="TableParagraph"/>
              <w:spacing w:before="179"/>
              <w:ind w:left="205" w:right="155"/>
              <w:rPr>
                <w:sz w:val="18"/>
              </w:rPr>
            </w:pPr>
            <w:r>
              <w:rPr>
                <w:sz w:val="18"/>
              </w:rPr>
              <w:t>0-500</w:t>
            </w:r>
          </w:p>
          <w:p>
            <w:pPr>
              <w:pStyle w:val="TableParagraph"/>
              <w:spacing w:before="71"/>
              <w:ind w:left="198" w:right="155"/>
              <w:rPr>
                <w:sz w:val="18"/>
              </w:rPr>
            </w:pPr>
            <w:r>
              <w:rPr>
                <w:sz w:val="18"/>
              </w:rPr>
              <w:t>PPM</w:t>
            </w:r>
          </w:p>
        </w:tc>
        <w:tc>
          <w:tcPr>
            <w:tcW w:w="1621" w:type="dxa"/>
          </w:tcPr>
          <w:p>
            <w:pPr>
              <w:pStyle w:val="TableParagraph"/>
              <w:spacing w:before="179"/>
              <w:ind w:left="143" w:right="195"/>
              <w:rPr>
                <w:sz w:val="18"/>
              </w:rPr>
            </w:pPr>
            <w:r>
              <w:rPr>
                <w:sz w:val="18"/>
              </w:rPr>
              <w:t>0-200</w:t>
            </w:r>
          </w:p>
          <w:p>
            <w:pPr>
              <w:pStyle w:val="TableParagraph"/>
              <w:spacing w:before="71"/>
              <w:ind w:left="143" w:right="197"/>
              <w:rPr>
                <w:sz w:val="18"/>
              </w:rPr>
            </w:pPr>
            <w:r>
              <w:rPr>
                <w:sz w:val="18"/>
              </w:rPr>
              <w:t>PPM</w:t>
            </w:r>
          </w:p>
        </w:tc>
        <w:tc>
          <w:tcPr>
            <w:tcW w:w="1454" w:type="dxa"/>
            <w:gridSpan w:val="2"/>
          </w:tcPr>
          <w:p>
            <w:pPr>
              <w:pStyle w:val="TableParagraph"/>
              <w:spacing w:before="179"/>
              <w:ind w:left="585"/>
              <w:jc w:val="left"/>
              <w:rPr>
                <w:sz w:val="18"/>
              </w:rPr>
            </w:pPr>
            <w:r>
              <w:rPr>
                <w:sz w:val="18"/>
              </w:rPr>
              <w:t>0-500</w:t>
            </w:r>
          </w:p>
          <w:p>
            <w:pPr>
              <w:pStyle w:val="TableParagraph"/>
              <w:spacing w:before="71"/>
              <w:ind w:left="669"/>
              <w:jc w:val="left"/>
              <w:rPr>
                <w:sz w:val="18"/>
              </w:rPr>
            </w:pPr>
            <w:r>
              <w:rPr>
                <w:sz w:val="18"/>
              </w:rPr>
              <w:t>PPM</w:t>
            </w:r>
          </w:p>
        </w:tc>
        <w:tc>
          <w:tcPr>
            <w:tcW w:w="1465" w:type="dxa"/>
          </w:tcPr>
          <w:p>
            <w:pPr>
              <w:pStyle w:val="TableParagraph"/>
              <w:spacing w:before="179"/>
              <w:ind w:left="168" w:right="116"/>
              <w:rPr>
                <w:sz w:val="18"/>
              </w:rPr>
            </w:pPr>
            <w:r>
              <w:rPr>
                <w:sz w:val="18"/>
              </w:rPr>
              <w:t>0-200</w:t>
            </w:r>
          </w:p>
          <w:p>
            <w:pPr>
              <w:pStyle w:val="TableParagraph"/>
              <w:spacing w:before="71"/>
              <w:ind w:left="161" w:right="116"/>
              <w:rPr>
                <w:sz w:val="18"/>
              </w:rPr>
            </w:pPr>
            <w:r>
              <w:rPr>
                <w:sz w:val="18"/>
              </w:rPr>
              <w:t>PPM</w:t>
            </w:r>
          </w:p>
        </w:tc>
        <w:tc>
          <w:tcPr>
            <w:tcW w:w="1465" w:type="dxa"/>
          </w:tcPr>
          <w:p>
            <w:pPr>
              <w:pStyle w:val="TableParagraph"/>
              <w:spacing w:before="179"/>
              <w:ind w:left="353" w:right="90"/>
              <w:rPr>
                <w:sz w:val="18"/>
              </w:rPr>
            </w:pPr>
            <w:r>
              <w:rPr>
                <w:sz w:val="18"/>
              </w:rPr>
              <w:t>0-1000</w:t>
            </w:r>
          </w:p>
          <w:p>
            <w:pPr>
              <w:pStyle w:val="TableParagraph"/>
              <w:spacing w:before="71"/>
              <w:ind w:left="353" w:right="95"/>
              <w:rPr>
                <w:sz w:val="18"/>
              </w:rPr>
            </w:pPr>
            <w:r>
              <w:rPr>
                <w:sz w:val="18"/>
              </w:rPr>
              <w:t>PPM</w:t>
            </w:r>
          </w:p>
        </w:tc>
        <w:tc>
          <w:tcPr>
            <w:tcW w:w="1465" w:type="dxa"/>
          </w:tcPr>
          <w:p>
            <w:pPr>
              <w:pStyle w:val="TableParagraph"/>
              <w:spacing w:before="179"/>
              <w:ind w:left="352" w:right="116"/>
              <w:rPr>
                <w:sz w:val="18"/>
              </w:rPr>
            </w:pPr>
            <w:r>
              <w:rPr>
                <w:sz w:val="18"/>
              </w:rPr>
              <w:t>0-2000</w:t>
            </w:r>
          </w:p>
          <w:p>
            <w:pPr>
              <w:pStyle w:val="TableParagraph"/>
              <w:spacing w:before="71"/>
              <w:ind w:left="349" w:right="116"/>
              <w:rPr>
                <w:sz w:val="18"/>
              </w:rPr>
            </w:pPr>
            <w:r>
              <w:rPr>
                <w:sz w:val="18"/>
              </w:rPr>
              <w:t>PPB</w:t>
            </w:r>
          </w:p>
        </w:tc>
      </w:tr>
      <w:tr>
        <w:trPr>
          <w:trHeight w:val="798" w:hRule="atLeast"/>
        </w:trPr>
        <w:tc>
          <w:tcPr>
            <w:tcW w:w="1256" w:type="dxa"/>
            <w:gridSpan w:val="2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482" w:right="112" w:hanging="296"/>
              <w:jc w:val="left"/>
              <w:rPr>
                <w:sz w:val="18"/>
              </w:rPr>
            </w:pPr>
            <w:r>
              <w:rPr>
                <w:sz w:val="18"/>
              </w:rPr>
              <w:t>Response, T90</w:t>
            </w:r>
          </w:p>
        </w:tc>
        <w:tc>
          <w:tcPr>
            <w:tcW w:w="1532" w:type="dxa"/>
          </w:tcPr>
          <w:p>
            <w:pPr>
              <w:pStyle w:val="TableParagraph"/>
              <w:spacing w:before="70"/>
              <w:ind w:left="161" w:right="155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>
            <w:pPr>
              <w:pStyle w:val="TableParagraph"/>
              <w:spacing w:before="72"/>
              <w:ind w:left="200" w:right="155"/>
              <w:rPr>
                <w:sz w:val="18"/>
              </w:rPr>
            </w:pPr>
            <w:r>
              <w:rPr>
                <w:sz w:val="18"/>
              </w:rPr>
              <w:t>seconds</w:t>
            </w:r>
          </w:p>
        </w:tc>
        <w:tc>
          <w:tcPr>
            <w:tcW w:w="1621" w:type="dxa"/>
          </w:tcPr>
          <w:p>
            <w:pPr>
              <w:pStyle w:val="TableParagraph"/>
              <w:spacing w:before="181"/>
              <w:ind w:left="143" w:right="382"/>
              <w:rPr>
                <w:sz w:val="18"/>
              </w:rPr>
            </w:pPr>
            <w:r>
              <w:rPr>
                <w:sz w:val="18"/>
              </w:rPr>
              <w:t>40</w:t>
            </w:r>
          </w:p>
          <w:p>
            <w:pPr>
              <w:pStyle w:val="TableParagraph"/>
              <w:spacing w:before="69"/>
              <w:ind w:left="143" w:right="140"/>
              <w:rPr>
                <w:sz w:val="18"/>
              </w:rPr>
            </w:pPr>
            <w:r>
              <w:rPr>
                <w:sz w:val="18"/>
              </w:rPr>
              <w:t>seconds</w:t>
            </w:r>
          </w:p>
        </w:tc>
        <w:tc>
          <w:tcPr>
            <w:tcW w:w="1454" w:type="dxa"/>
            <w:gridSpan w:val="2"/>
          </w:tcPr>
          <w:p>
            <w:pPr>
              <w:pStyle w:val="TableParagraph"/>
              <w:spacing w:before="181"/>
              <w:ind w:left="402" w:right="134"/>
              <w:rPr>
                <w:sz w:val="18"/>
              </w:rPr>
            </w:pPr>
            <w:r>
              <w:rPr>
                <w:sz w:val="18"/>
              </w:rPr>
              <w:t>120</w:t>
            </w:r>
          </w:p>
          <w:p>
            <w:pPr>
              <w:pStyle w:val="TableParagraph"/>
              <w:spacing w:before="69"/>
              <w:ind w:left="402" w:right="138"/>
              <w:rPr>
                <w:sz w:val="18"/>
              </w:rPr>
            </w:pPr>
            <w:r>
              <w:rPr>
                <w:sz w:val="18"/>
              </w:rPr>
              <w:t>seconds</w:t>
            </w:r>
          </w:p>
        </w:tc>
        <w:tc>
          <w:tcPr>
            <w:tcW w:w="1465" w:type="dxa"/>
          </w:tcPr>
          <w:p>
            <w:pPr>
              <w:pStyle w:val="TableParagraph"/>
              <w:spacing w:before="181"/>
              <w:ind w:left="168" w:right="116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69"/>
              <w:ind w:left="163" w:right="116"/>
              <w:rPr>
                <w:sz w:val="18"/>
              </w:rPr>
            </w:pPr>
            <w:r>
              <w:rPr>
                <w:sz w:val="18"/>
              </w:rPr>
              <w:t>seconds</w:t>
            </w:r>
          </w:p>
        </w:tc>
        <w:tc>
          <w:tcPr>
            <w:tcW w:w="1465" w:type="dxa"/>
          </w:tcPr>
          <w:p>
            <w:pPr>
              <w:pStyle w:val="TableParagraph"/>
              <w:spacing w:before="181"/>
              <w:ind w:left="353" w:right="92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>
            <w:pPr>
              <w:pStyle w:val="TableParagraph"/>
              <w:spacing w:before="69"/>
              <w:ind w:left="353" w:right="96"/>
              <w:rPr>
                <w:sz w:val="18"/>
              </w:rPr>
            </w:pPr>
            <w:r>
              <w:rPr>
                <w:sz w:val="18"/>
              </w:rPr>
              <w:t>seconds</w:t>
            </w:r>
          </w:p>
        </w:tc>
        <w:tc>
          <w:tcPr>
            <w:tcW w:w="1465" w:type="dxa"/>
          </w:tcPr>
          <w:p>
            <w:pPr>
              <w:pStyle w:val="TableParagraph"/>
              <w:spacing w:before="181"/>
              <w:ind w:left="353" w:right="112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69"/>
              <w:ind w:left="352" w:right="116"/>
              <w:rPr>
                <w:sz w:val="18"/>
              </w:rPr>
            </w:pPr>
            <w:r>
              <w:rPr>
                <w:sz w:val="18"/>
              </w:rPr>
              <w:t>seconds</w:t>
            </w:r>
          </w:p>
        </w:tc>
      </w:tr>
      <w:tr>
        <w:trPr>
          <w:trHeight w:val="798" w:hRule="atLeast"/>
        </w:trPr>
        <w:tc>
          <w:tcPr>
            <w:tcW w:w="1256" w:type="dxa"/>
            <w:gridSpan w:val="2"/>
          </w:tcPr>
          <w:p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Zero drift</w:t>
            </w:r>
          </w:p>
        </w:tc>
        <w:tc>
          <w:tcPr>
            <w:tcW w:w="1532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left="197" w:right="155"/>
              <w:rPr>
                <w:sz w:val="18"/>
              </w:rPr>
            </w:pPr>
            <w:r>
              <w:rPr>
                <w:sz w:val="18"/>
              </w:rPr>
              <w:t>&lt;±1PPM/</w:t>
            </w:r>
          </w:p>
          <w:p>
            <w:pPr>
              <w:pStyle w:val="TableParagraph"/>
              <w:spacing w:line="219" w:lineRule="exact"/>
              <w:ind w:left="204" w:right="155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1621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left="143" w:right="388"/>
              <w:rPr>
                <w:sz w:val="18"/>
              </w:rPr>
            </w:pPr>
            <w:r>
              <w:rPr>
                <w:sz w:val="18"/>
              </w:rPr>
              <w:t>&lt;±0.5PPM/</w:t>
            </w:r>
          </w:p>
          <w:p>
            <w:pPr>
              <w:pStyle w:val="TableParagraph"/>
              <w:spacing w:line="219" w:lineRule="exact"/>
              <w:ind w:left="143" w:right="383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1454" w:type="dxa"/>
            <w:gridSpan w:val="2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left="402" w:right="141"/>
              <w:rPr>
                <w:sz w:val="18"/>
              </w:rPr>
            </w:pPr>
            <w:r>
              <w:rPr>
                <w:sz w:val="18"/>
              </w:rPr>
              <w:t>&lt;±2PPM/</w:t>
            </w:r>
          </w:p>
          <w:p>
            <w:pPr>
              <w:pStyle w:val="TableParagraph"/>
              <w:spacing w:line="219" w:lineRule="exact"/>
              <w:ind w:left="402" w:right="134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1465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left="162" w:right="116"/>
              <w:rPr>
                <w:sz w:val="18"/>
              </w:rPr>
            </w:pPr>
            <w:r>
              <w:rPr>
                <w:sz w:val="18"/>
              </w:rPr>
              <w:t>&lt;±0.5PPM/</w:t>
            </w:r>
          </w:p>
          <w:p>
            <w:pPr>
              <w:pStyle w:val="TableParagraph"/>
              <w:spacing w:line="219" w:lineRule="exact"/>
              <w:ind w:left="167" w:right="116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1465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left="353" w:right="100"/>
              <w:rPr>
                <w:sz w:val="18"/>
              </w:rPr>
            </w:pPr>
            <w:r>
              <w:rPr>
                <w:sz w:val="18"/>
              </w:rPr>
              <w:t>&lt;±2PPM/</w:t>
            </w:r>
          </w:p>
          <w:p>
            <w:pPr>
              <w:pStyle w:val="TableParagraph"/>
              <w:spacing w:line="219" w:lineRule="exact"/>
              <w:ind w:left="353" w:right="93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1465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left="353" w:right="116"/>
              <w:rPr>
                <w:sz w:val="18"/>
              </w:rPr>
            </w:pPr>
            <w:r>
              <w:rPr>
                <w:sz w:val="18"/>
              </w:rPr>
              <w:t>&lt;±20PPB/</w:t>
            </w:r>
          </w:p>
          <w:p>
            <w:pPr>
              <w:pStyle w:val="TableParagraph"/>
              <w:spacing w:line="219" w:lineRule="exact"/>
              <w:ind w:left="353" w:right="114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</w:tr>
      <w:tr>
        <w:trPr>
          <w:trHeight w:val="798" w:hRule="atLeast"/>
        </w:trPr>
        <w:tc>
          <w:tcPr>
            <w:tcW w:w="125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Span Drift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05" w:right="155"/>
              <w:rPr>
                <w:sz w:val="18"/>
              </w:rPr>
            </w:pPr>
            <w:r>
              <w:rPr>
                <w:sz w:val="18"/>
              </w:rPr>
              <w:t>&lt;2%/month</w:t>
            </w:r>
          </w:p>
        </w:tc>
        <w:tc>
          <w:tcPr>
            <w:tcW w:w="16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&lt;2%/month</w:t>
            </w:r>
          </w:p>
        </w:tc>
        <w:tc>
          <w:tcPr>
            <w:tcW w:w="145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&lt;2%/month</w:t>
            </w:r>
          </w:p>
        </w:tc>
        <w:tc>
          <w:tcPr>
            <w:tcW w:w="14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68" w:right="116"/>
              <w:rPr>
                <w:sz w:val="18"/>
              </w:rPr>
            </w:pPr>
            <w:r>
              <w:rPr>
                <w:sz w:val="18"/>
              </w:rPr>
              <w:t>&lt;2%/month</w:t>
            </w:r>
          </w:p>
        </w:tc>
        <w:tc>
          <w:tcPr>
            <w:tcW w:w="14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66" w:right="116"/>
              <w:rPr>
                <w:sz w:val="18"/>
              </w:rPr>
            </w:pPr>
            <w:r>
              <w:rPr>
                <w:sz w:val="18"/>
              </w:rPr>
              <w:t>&lt;2%/month</w:t>
            </w:r>
          </w:p>
        </w:tc>
        <w:tc>
          <w:tcPr>
            <w:tcW w:w="14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64" w:right="116"/>
              <w:rPr>
                <w:sz w:val="18"/>
              </w:rPr>
            </w:pPr>
            <w:r>
              <w:rPr>
                <w:sz w:val="18"/>
              </w:rPr>
              <w:t>&lt;2%/month</w:t>
            </w:r>
          </w:p>
        </w:tc>
      </w:tr>
      <w:tr>
        <w:trPr>
          <w:trHeight w:val="349" w:hRule="atLeast"/>
        </w:trPr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38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left="1538"/>
              <w:jc w:val="left"/>
              <w:rPr>
                <w:sz w:val="18"/>
              </w:rPr>
            </w:pPr>
            <w:r>
              <w:rPr>
                <w:sz w:val="18"/>
              </w:rPr>
              <w:t>Operating Temp. Range</w:t>
            </w:r>
          </w:p>
        </w:tc>
        <w:tc>
          <w:tcPr>
            <w:tcW w:w="4859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left="1510"/>
              <w:jc w:val="left"/>
              <w:rPr>
                <w:sz w:val="18"/>
              </w:rPr>
            </w:pPr>
            <w:r>
              <w:rPr>
                <w:sz w:val="18"/>
              </w:rPr>
              <w:t>-20</w:t>
            </w:r>
            <w:r>
              <w:rPr>
                <w:position w:val="6"/>
                <w:sz w:val="12"/>
              </w:rPr>
              <w:t>o</w:t>
            </w:r>
            <w:r>
              <w:rPr>
                <w:sz w:val="18"/>
              </w:rPr>
              <w:t>C to 40</w:t>
            </w:r>
            <w:r>
              <w:rPr>
                <w:position w:val="6"/>
                <w:sz w:val="12"/>
              </w:rPr>
              <w:t>o</w:t>
            </w:r>
            <w:r>
              <w:rPr>
                <w:sz w:val="18"/>
              </w:rPr>
              <w:t>C for all</w:t>
            </w:r>
          </w:p>
        </w:tc>
      </w:tr>
      <w:tr>
        <w:trPr>
          <w:trHeight w:val="350" w:hRule="atLeast"/>
        </w:trPr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4"/>
          </w:tcPr>
          <w:p>
            <w:pPr>
              <w:pStyle w:val="TableParagraph"/>
              <w:spacing w:before="68"/>
              <w:ind w:left="1874" w:right="1800"/>
              <w:rPr>
                <w:sz w:val="18"/>
              </w:rPr>
            </w:pPr>
            <w:r>
              <w:rPr>
                <w:sz w:val="18"/>
              </w:rPr>
              <w:t>Pressure Range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before="68"/>
              <w:ind w:left="1903" w:right="1742"/>
              <w:rPr>
                <w:sz w:val="18"/>
              </w:rPr>
            </w:pPr>
            <w:r>
              <w:rPr>
                <w:sz w:val="18"/>
              </w:rPr>
              <w:t>-5 to 50 psig</w:t>
            </w:r>
          </w:p>
        </w:tc>
      </w:tr>
      <w:tr>
        <w:trPr>
          <w:trHeight w:val="350" w:hRule="atLeast"/>
        </w:trPr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4"/>
          </w:tcPr>
          <w:p>
            <w:pPr>
              <w:pStyle w:val="TableParagraph"/>
              <w:spacing w:before="13"/>
              <w:ind w:left="1857" w:right="1853"/>
              <w:rPr>
                <w:sz w:val="18"/>
              </w:rPr>
            </w:pPr>
            <w:r>
              <w:rPr>
                <w:sz w:val="18"/>
              </w:rPr>
              <w:t>Humidity Range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before="13"/>
              <w:ind w:left="819"/>
              <w:jc w:val="left"/>
              <w:rPr>
                <w:sz w:val="18"/>
              </w:rPr>
            </w:pPr>
            <w:r>
              <w:rPr>
                <w:sz w:val="18"/>
              </w:rPr>
              <w:t>15-95% RH, non-condensing for all</w:t>
            </w:r>
          </w:p>
        </w:tc>
      </w:tr>
      <w:tr>
        <w:trPr>
          <w:trHeight w:val="350" w:hRule="atLeast"/>
        </w:trPr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4"/>
          </w:tcPr>
          <w:p>
            <w:pPr>
              <w:pStyle w:val="TableParagraph"/>
              <w:spacing w:before="13"/>
              <w:ind w:left="1696"/>
              <w:jc w:val="left"/>
              <w:rPr>
                <w:sz w:val="18"/>
              </w:rPr>
            </w:pPr>
            <w:r>
              <w:rPr>
                <w:sz w:val="18"/>
              </w:rPr>
              <w:t>Data Collection Rate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before="13"/>
              <w:ind w:left="1246"/>
              <w:jc w:val="left"/>
              <w:rPr>
                <w:sz w:val="18"/>
              </w:rPr>
            </w:pPr>
            <w:r>
              <w:rPr>
                <w:sz w:val="18"/>
              </w:rPr>
              <w:t>10 data points per second</w:t>
            </w:r>
          </w:p>
        </w:tc>
      </w:tr>
    </w:tbl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before="100"/>
        <w:ind w:left="280"/>
      </w:pPr>
      <w:r>
        <w:rPr/>
        <w:t>*Recommended calibration frequency is every 3 months for optimum accuracy.</w:t>
      </w:r>
    </w:p>
    <w:p>
      <w:pPr>
        <w:pStyle w:val="BodyText"/>
        <w:spacing w:line="264" w:lineRule="auto" w:before="175"/>
        <w:ind w:left="119" w:right="314" w:firstLine="160"/>
      </w:pPr>
      <w:r>
        <w:rPr/>
        <w:t>*Accuracy is calibration gas standards dependent. Best calibration standards are ±2%, but generally ±5% is normal.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101"/>
        <w:ind w:left="4573" w:right="560" w:hanging="4001"/>
        <w:jc w:val="left"/>
        <w:rPr>
          <w:sz w:val="16"/>
        </w:rPr>
      </w:pPr>
      <w:r>
        <w:rPr>
          <w:sz w:val="16"/>
        </w:rPr>
        <w:t>For more information on our </w:t>
      </w:r>
      <w:r>
        <w:rPr>
          <w:i/>
          <w:sz w:val="16"/>
        </w:rPr>
        <w:t>Multi-Gas Analyzer </w:t>
      </w:r>
      <w:r>
        <w:rPr>
          <w:sz w:val="16"/>
        </w:rPr>
        <w:t>and how to purchase, e-mail </w:t>
      </w:r>
      <w:hyperlink r:id="rId6">
        <w:r>
          <w:rPr>
            <w:color w:val="0562C1"/>
            <w:sz w:val="16"/>
            <w:u w:val="single" w:color="0562C1"/>
          </w:rPr>
          <w:t>sales@zysense.com</w:t>
        </w:r>
        <w:r>
          <w:rPr>
            <w:color w:val="0562C1"/>
            <w:sz w:val="16"/>
          </w:rPr>
          <w:t> </w:t>
        </w:r>
      </w:hyperlink>
      <w:r>
        <w:rPr>
          <w:sz w:val="16"/>
        </w:rPr>
        <w:t>or call Zysense at (984) 999-0662.</w:t>
      </w:r>
    </w:p>
    <w:p>
      <w:pPr>
        <w:pStyle w:val="BodyText"/>
        <w:ind w:left="5040"/>
        <w:rPr>
          <w:sz w:val="20"/>
        </w:rPr>
      </w:pPr>
      <w:r>
        <w:rPr>
          <w:sz w:val="20"/>
        </w:rPr>
        <w:drawing>
          <wp:inline distT="0" distB="0" distL="0" distR="0">
            <wp:extent cx="252359" cy="32480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59" cy="32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720" w:bottom="280" w:left="8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Verdana" w:hAnsi="Verdana" w:eastAsia="Verdana" w:cs="Verdan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ales@zysense.com" TargetMode="External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Cromer</dc:creator>
  <dcterms:created xsi:type="dcterms:W3CDTF">2020-03-06T07:58:56Z</dcterms:created>
  <dcterms:modified xsi:type="dcterms:W3CDTF">2020-03-06T07:58:56Z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2020-03-06T00:00:00Z</vt:filetime>
  </property>
</Properties>
</file>